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ayout w:type="fixed"/>
        <w:tblLook w:val="04A0"/>
      </w:tblPr>
      <w:tblGrid>
        <w:gridCol w:w="604"/>
        <w:gridCol w:w="605"/>
        <w:gridCol w:w="604"/>
        <w:gridCol w:w="605"/>
        <w:gridCol w:w="604"/>
        <w:gridCol w:w="605"/>
        <w:gridCol w:w="604"/>
        <w:gridCol w:w="605"/>
        <w:gridCol w:w="604"/>
        <w:gridCol w:w="605"/>
        <w:gridCol w:w="604"/>
        <w:gridCol w:w="605"/>
        <w:gridCol w:w="604"/>
        <w:gridCol w:w="605"/>
        <w:gridCol w:w="604"/>
        <w:gridCol w:w="605"/>
        <w:gridCol w:w="604"/>
        <w:gridCol w:w="605"/>
      </w:tblGrid>
      <w:tr w:rsidR="00B85558" w:rsidRPr="004970BB" w:rsidTr="004970BB">
        <w:trPr>
          <w:trHeight w:val="612"/>
        </w:trPr>
        <w:tc>
          <w:tcPr>
            <w:tcW w:w="604" w:type="dxa"/>
            <w:vAlign w:val="center"/>
          </w:tcPr>
          <w:p w:rsidR="00B85558" w:rsidRPr="004970BB" w:rsidRDefault="00B85558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970BB">
              <w:rPr>
                <w:rFonts w:eastAsiaTheme="minorEastAsia"/>
                <w:sz w:val="20"/>
                <w:szCs w:val="20"/>
              </w:rPr>
              <w:t>α</w:t>
            </w:r>
          </w:p>
        </w:tc>
        <w:tc>
          <w:tcPr>
            <w:tcW w:w="605" w:type="dxa"/>
            <w:vAlign w:val="center"/>
          </w:tcPr>
          <w:p w:rsidR="00B85558" w:rsidRPr="007373B6" w:rsidRDefault="007373B6" w:rsidP="00210C6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B85558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π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7π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7π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11π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2π</m:t>
                </m:r>
              </m:oMath>
            </m:oMathPara>
          </w:p>
        </w:tc>
      </w:tr>
      <w:tr w:rsidR="004970BB" w:rsidRPr="004970BB" w:rsidTr="004970BB">
        <w:trPr>
          <w:trHeight w:val="612"/>
        </w:trPr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tcBorders>
              <w:right w:val="single" w:sz="12" w:space="0" w:color="FF0000"/>
            </w:tcBorders>
            <w:vAlign w:val="center"/>
          </w:tcPr>
          <w:p w:rsidR="00B85558" w:rsidRPr="007373B6" w:rsidRDefault="007373B6" w:rsidP="007373B6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1</m:t>
                </m:r>
              </m:oMath>
            </m:oMathPara>
          </w:p>
        </w:tc>
        <w:tc>
          <w:tcPr>
            <w:tcW w:w="604" w:type="dxa"/>
            <w:tcBorders>
              <w:left w:val="single" w:sz="12" w:space="0" w:color="FF0000"/>
            </w:tcBorders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7373B6" w:rsidRDefault="007373B6" w:rsidP="00210C6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0</w:t>
            </w:r>
          </w:p>
        </w:tc>
      </w:tr>
      <w:tr w:rsidR="00B85558" w:rsidRPr="004970BB" w:rsidTr="004970BB">
        <w:trPr>
          <w:trHeight w:val="612"/>
        </w:trPr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tcBorders>
              <w:right w:val="single" w:sz="12" w:space="0" w:color="FF0000"/>
            </w:tcBorders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604" w:type="dxa"/>
            <w:tcBorders>
              <w:left w:val="single" w:sz="12" w:space="0" w:color="FF0000"/>
            </w:tcBorders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oMath>
            </m:oMathPara>
          </w:p>
        </w:tc>
      </w:tr>
      <w:tr w:rsidR="00B85558" w:rsidRPr="004970BB" w:rsidTr="004970BB">
        <w:trPr>
          <w:trHeight w:val="612"/>
        </w:trPr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tg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7373B6" w:rsidRDefault="007373B6" w:rsidP="00210C6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tcBorders>
              <w:right w:val="single" w:sz="12" w:space="0" w:color="FF0000"/>
            </w:tcBorders>
            <w:vAlign w:val="center"/>
          </w:tcPr>
          <w:p w:rsidR="00B85558" w:rsidRPr="007373B6" w:rsidRDefault="007373B6" w:rsidP="007373B6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</m:t>
                </m:r>
              </m:oMath>
            </m:oMathPara>
          </w:p>
        </w:tc>
        <w:tc>
          <w:tcPr>
            <w:tcW w:w="604" w:type="dxa"/>
            <w:tcBorders>
              <w:left w:val="single" w:sz="12" w:space="0" w:color="FF0000"/>
            </w:tcBorders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</w:tr>
      <w:tr w:rsidR="00B85558" w:rsidRPr="004970BB" w:rsidTr="004970BB">
        <w:trPr>
          <w:trHeight w:val="612"/>
        </w:trPr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ctg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vAlign w:val="center"/>
          </w:tcPr>
          <w:p w:rsidR="00B85558" w:rsidRPr="007373B6" w:rsidRDefault="007373B6" w:rsidP="00210C6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210C6C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tcBorders>
              <w:right w:val="single" w:sz="12" w:space="0" w:color="FF0000"/>
            </w:tcBorders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</m:oMath>
            </m:oMathPara>
          </w:p>
        </w:tc>
        <w:tc>
          <w:tcPr>
            <w:tcW w:w="604" w:type="dxa"/>
            <w:tcBorders>
              <w:left w:val="single" w:sz="12" w:space="0" w:color="FF0000"/>
            </w:tcBorders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F672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210C6C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-1</m:t>
                </m:r>
              </m:oMath>
            </m:oMathPara>
          </w:p>
        </w:tc>
        <w:tc>
          <w:tcPr>
            <w:tcW w:w="604" w:type="dxa"/>
            <w:vAlign w:val="center"/>
          </w:tcPr>
          <w:p w:rsidR="00B85558" w:rsidRPr="004970BB" w:rsidRDefault="00FA58B5" w:rsidP="00FA58B5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05" w:type="dxa"/>
            <w:vAlign w:val="center"/>
          </w:tcPr>
          <w:p w:rsidR="00B85558" w:rsidRPr="004970BB" w:rsidRDefault="007373B6" w:rsidP="007373B6">
            <w:pPr>
              <w:jc w:val="center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</m:t>
                </m:r>
              </m:oMath>
            </m:oMathPara>
          </w:p>
        </w:tc>
      </w:tr>
    </w:tbl>
    <w:p w:rsidR="003B0EE6" w:rsidRDefault="003B0EE6"/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42"/>
        <w:gridCol w:w="1643"/>
        <w:gridCol w:w="1643"/>
      </w:tblGrid>
      <w:tr w:rsidR="0026699C" w:rsidRPr="00A50AA1" w:rsidTr="00CC6BEF">
        <w:trPr>
          <w:trHeight w:val="545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'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</m:oMath>
            </m:oMathPara>
          </w:p>
        </w:tc>
      </w:tr>
      <w:tr w:rsidR="0026699C" w:rsidRPr="00A50AA1" w:rsidTr="00F922B2">
        <w:trPr>
          <w:trHeight w:val="290"/>
        </w:trPr>
        <w:tc>
          <w:tcPr>
            <w:tcW w:w="1642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cx</m:t>
                </m:r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kx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2x</m:t>
                </m:r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  <w:tr w:rsidR="0026699C" w:rsidRPr="00A50AA1" w:rsidTr="00CC6BEF">
        <w:trPr>
          <w:trHeight w:val="604"/>
        </w:trPr>
        <w:tc>
          <w:tcPr>
            <w:tcW w:w="1642" w:type="dxa"/>
            <w:vAlign w:val="center"/>
          </w:tcPr>
          <w:p w:rsidR="0026699C" w:rsidRPr="00A50AA1" w:rsidRDefault="00D95387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n+1</m:t>
                    </m:r>
                  </m:den>
                </m:f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7373B6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1.5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1.5</m:t>
                    </m:r>
                  </m:den>
                </m:f>
              </m:oMath>
            </m:oMathPara>
          </w:p>
        </w:tc>
      </w:tr>
      <w:tr w:rsidR="0026699C" w:rsidRPr="00A50AA1" w:rsidTr="00F922B2">
        <w:trPr>
          <w:trHeight w:val="250"/>
        </w:trPr>
        <w:tc>
          <w:tcPr>
            <w:tcW w:w="1642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-cos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</w:tr>
      <w:tr w:rsidR="0026699C" w:rsidRPr="00A50AA1" w:rsidTr="00F922B2">
        <w:trPr>
          <w:trHeight w:val="269"/>
        </w:trPr>
        <w:tc>
          <w:tcPr>
            <w:tcW w:w="1642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-sin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A50AA1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</m:oMath>
            </m:oMathPara>
          </w:p>
        </w:tc>
      </w:tr>
      <w:tr w:rsidR="0026699C" w:rsidRPr="00A50AA1" w:rsidTr="00CC6BEF">
        <w:trPr>
          <w:trHeight w:val="545"/>
        </w:trPr>
        <w:tc>
          <w:tcPr>
            <w:tcW w:w="1642" w:type="dxa"/>
            <w:vAlign w:val="center"/>
          </w:tcPr>
          <w:p w:rsidR="0026699C" w:rsidRPr="00A50AA1" w:rsidRDefault="008E7B32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FF6725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643" w:type="dxa"/>
            <w:vAlign w:val="center"/>
          </w:tcPr>
          <w:p w:rsidR="0026699C" w:rsidRPr="00A50AA1" w:rsidRDefault="00A50AA1" w:rsidP="00CC6BEF">
            <w:pPr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</m:oMath>
            </m:oMathPara>
          </w:p>
        </w:tc>
      </w:tr>
      <w:tr w:rsidR="003C7AB8" w:rsidRPr="00A50AA1" w:rsidTr="00CC6BEF">
        <w:trPr>
          <w:trHeight w:val="545"/>
        </w:trPr>
        <w:tc>
          <w:tcPr>
            <w:tcW w:w="1642" w:type="dxa"/>
            <w:vAlign w:val="center"/>
          </w:tcPr>
          <w:p w:rsidR="003C7AB8" w:rsidRPr="003C7AB8" w:rsidRDefault="003C7AB8" w:rsidP="00CC6BEF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</m:oMath>
            </m:oMathPara>
          </w:p>
        </w:tc>
        <w:tc>
          <w:tcPr>
            <w:tcW w:w="1643" w:type="dxa"/>
            <w:vAlign w:val="center"/>
          </w:tcPr>
          <w:p w:rsidR="003C7AB8" w:rsidRPr="003C7AB8" w:rsidRDefault="003C7AB8" w:rsidP="00CC6BEF">
            <w:pPr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3C7AB8" w:rsidRDefault="003C7AB8" w:rsidP="00CC6BE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ctg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</w:tr>
      <w:tr w:rsidR="003C7AB8" w:rsidRPr="00A50AA1" w:rsidTr="00CC6BEF">
        <w:trPr>
          <w:trHeight w:val="545"/>
        </w:trPr>
        <w:tc>
          <w:tcPr>
            <w:tcW w:w="1642" w:type="dxa"/>
            <w:vAlign w:val="center"/>
          </w:tcPr>
          <w:p w:rsidR="003C7AB8" w:rsidRPr="003C7AB8" w:rsidRDefault="003C7AB8" w:rsidP="00CC6BEF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</m:oMath>
            </m:oMathPara>
          </w:p>
        </w:tc>
        <w:tc>
          <w:tcPr>
            <w:tcW w:w="1643" w:type="dxa"/>
            <w:vAlign w:val="center"/>
          </w:tcPr>
          <w:p w:rsidR="003C7AB8" w:rsidRPr="00FF6725" w:rsidRDefault="003C7AB8" w:rsidP="00CC6BE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  <w:lang w:val="en-US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643" w:type="dxa"/>
            <w:vAlign w:val="center"/>
          </w:tcPr>
          <w:p w:rsidR="003C7AB8" w:rsidRDefault="003C7AB8" w:rsidP="00CC6BE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func>
              </m:oMath>
            </m:oMathPara>
          </w:p>
        </w:tc>
      </w:tr>
      <w:tr w:rsidR="003C7AB8" w:rsidRPr="00A50AA1" w:rsidTr="00F922B2">
        <w:trPr>
          <w:trHeight w:val="319"/>
        </w:trPr>
        <w:tc>
          <w:tcPr>
            <w:tcW w:w="1642" w:type="dxa"/>
            <w:vAlign w:val="center"/>
          </w:tcPr>
          <w:p w:rsidR="003C7AB8" w:rsidRDefault="003C7AB8" w:rsidP="00CC6BE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3C7AB8" w:rsidRPr="00FF6725" w:rsidRDefault="003C7AB8" w:rsidP="00CC6BE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643" w:type="dxa"/>
            <w:vAlign w:val="center"/>
          </w:tcPr>
          <w:p w:rsidR="003C7AB8" w:rsidRPr="00FF6725" w:rsidRDefault="003C7AB8" w:rsidP="00CC6BEF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x</m:t>
                    </m:r>
                  </m:sup>
                </m:sSup>
              </m:oMath>
            </m:oMathPara>
          </w:p>
        </w:tc>
      </w:tr>
    </w:tbl>
    <w:p w:rsidR="00CC6BEF" w:rsidRPr="00567FD6" w:rsidRDefault="00567FD6" w:rsidP="00567FD6">
      <w:pPr>
        <w:pStyle w:val="a7"/>
        <w:numPr>
          <w:ilvl w:val="0"/>
          <w:numId w:val="2"/>
        </w:numPr>
        <w:rPr>
          <w:lang w:val="en-US"/>
        </w:rPr>
      </w:pPr>
      <w:r>
        <w:t>Формулы сокращенного умножения.</w:t>
      </w:r>
    </w:p>
    <w:p w:rsidR="00567FD6" w:rsidRPr="00567FD6" w:rsidRDefault="00567FD6" w:rsidP="00567FD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  <m:r>
            <w:rPr>
              <w:rFonts w:ascii="Cambria Math" w:hAnsi="Cambria Math"/>
            </w:rPr>
            <m:t>(a-b)</m:t>
          </m:r>
        </m:oMath>
      </m:oMathPara>
    </w:p>
    <w:p w:rsidR="00567FD6" w:rsidRDefault="00567FD6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-ab+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567FD6" w:rsidRDefault="00567FD6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a-b</m:t>
              </m:r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+ab+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567FD6" w:rsidRDefault="00567FD6" w:rsidP="00567FD6">
      <w:pPr>
        <w:pStyle w:val="a7"/>
        <w:numPr>
          <w:ilvl w:val="0"/>
          <w:numId w:val="2"/>
        </w:numPr>
      </w:pPr>
      <w:r>
        <w:t>Геометрия.</w:t>
      </w:r>
    </w:p>
    <w:p w:rsidR="00567FD6" w:rsidRDefault="00567FD6" w:rsidP="00567FD6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a+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r>
                <w:rPr>
                  <w:rFonts w:ascii="Cambria Math" w:hAnsi="Cambria Math"/>
                </w:rPr>
                <m:t>=1</m:t>
              </m:r>
            </m:e>
          </m:func>
        </m:oMath>
      </m:oMathPara>
    </w:p>
    <w:p w:rsidR="00C21F79" w:rsidRDefault="00567FD6" w:rsidP="00567FD6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b-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func>
                        </m:e>
                      </m:func>
                    </m:e>
                  </m:func>
                </m:e>
              </m:func>
            </m:e>
          </m:func>
        </m:oMath>
      </m:oMathPara>
    </w:p>
    <w:p w:rsidR="00C21F79" w:rsidRDefault="00C21F79" w:rsidP="00567FD6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a-b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b+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func>
                        </m:e>
                      </m:func>
                    </m:e>
                  </m:func>
                </m:e>
              </m:func>
            </m:e>
          </m:func>
        </m:oMath>
      </m:oMathPara>
    </w:p>
    <w:p w:rsidR="00F922B2" w:rsidRDefault="00C21F79" w:rsidP="00567FD6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b+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func>
                    </m:e>
                  </m:func>
                </m:e>
              </m:func>
            </m:e>
          </m:func>
        </m:oMath>
      </m:oMathPara>
    </w:p>
    <w:p w:rsidR="0026699C" w:rsidRDefault="00F922B2" w:rsidP="00567FD6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a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b-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func>
                    </m:e>
                  </m:func>
                </m:e>
              </m:func>
            </m:e>
          </m:func>
        </m:oMath>
      </m:oMathPara>
      <w:r w:rsidR="00CC6BEF">
        <w:br w:type="textWrapping" w:clear="all"/>
      </w:r>
    </w:p>
    <w:sectPr w:rsidR="0026699C" w:rsidSect="004970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011"/>
    <w:multiLevelType w:val="hybridMultilevel"/>
    <w:tmpl w:val="9DD0B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528FC"/>
    <w:multiLevelType w:val="hybridMultilevel"/>
    <w:tmpl w:val="731C83C0"/>
    <w:lvl w:ilvl="0" w:tplc="972E303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558"/>
    <w:rsid w:val="001240FE"/>
    <w:rsid w:val="00210C6C"/>
    <w:rsid w:val="0026699C"/>
    <w:rsid w:val="003B0EE6"/>
    <w:rsid w:val="003C7AB8"/>
    <w:rsid w:val="004970BB"/>
    <w:rsid w:val="00567FD6"/>
    <w:rsid w:val="007373B6"/>
    <w:rsid w:val="008E7B32"/>
    <w:rsid w:val="00A50AA1"/>
    <w:rsid w:val="00B85558"/>
    <w:rsid w:val="00C21F79"/>
    <w:rsid w:val="00CC6BEF"/>
    <w:rsid w:val="00D95387"/>
    <w:rsid w:val="00F922B2"/>
    <w:rsid w:val="00FA58B5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8555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5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C7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C786-31AA-4FEF-8164-4934AD97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8</cp:revision>
  <dcterms:created xsi:type="dcterms:W3CDTF">2008-09-09T13:37:00Z</dcterms:created>
  <dcterms:modified xsi:type="dcterms:W3CDTF">2009-02-07T16:44:00Z</dcterms:modified>
</cp:coreProperties>
</file>